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94" w:rsidRPr="009F6573" w:rsidRDefault="00983A94" w:rsidP="00983A94">
      <w:pPr>
        <w:spacing w:after="120" w:line="312" w:lineRule="auto"/>
        <w:jc w:val="center"/>
        <w:rPr>
          <w:rFonts w:ascii="Times New Roman" w:hAnsi="Times New Roman" w:cs="Times New Roman"/>
          <w:b/>
          <w:sz w:val="28"/>
          <w:szCs w:val="28"/>
        </w:rPr>
      </w:pPr>
      <w:r w:rsidRPr="009F6573">
        <w:rPr>
          <w:rFonts w:ascii="Times New Roman" w:hAnsi="Times New Roman" w:cs="Times New Roman"/>
          <w:b/>
          <w:sz w:val="28"/>
          <w:szCs w:val="28"/>
        </w:rPr>
        <w:t xml:space="preserve">Правила направления, рецензирования и опубликования </w:t>
      </w:r>
      <w:r w:rsidRPr="009F6573">
        <w:rPr>
          <w:rFonts w:ascii="Times New Roman" w:hAnsi="Times New Roman" w:cs="Times New Roman"/>
          <w:b/>
          <w:sz w:val="28"/>
          <w:szCs w:val="28"/>
        </w:rPr>
        <w:br/>
        <w:t>научных статей</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Редакция журнала осуществляет рецензирование поступающих материалов в целях их экспертной оценки на соответствие тематике журнала. Все рецензенты являются признанными специалистами по тематике рецензируемых материалов и имеют в течение последних трех лет публикации по тематике рецензируемой статьи.</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 xml:space="preserve"> Рецензии хранятся в редакции журнала в течение пяти лет.</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Первичную экспертную оценку научной статьи осуществляют главный редактор или заместитель главного редактора.</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После первичной экспертной оценки научной статьи ответственный секретарь направляет ее на рецензирование члену экспертного совета рецензентов или члену редколлегии, курирующему соответствующее направление.</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Решение о возможности публикации статьи принимает главный редактор (заместитель главного редактора) на основании рецензии. Наличие положительного отзыва научного руководителя, заключения или рекомендации кафедры приветствуется.</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Научные статьи, поступившие от авторов, имеющих ученую степень доктора наук, в том числе от членов редакционного совета, рецензируются только по указанию главного редактора (заместителя главного редактора).</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После экспертной оценки научной статьи рецензент может: рекомендовать статью к опубликованию; рекомендовать статью к опубликованию после доработки с учетом замечаний; не рекомендовать статью к опубликованию.</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Редакция оставляет за собой право отбирать к публикации только статьи, соответствующие тематике журнала, и не публиковать статьи, содержание которых затрагивает честь и достоинство третьих лиц и включает информацию и рекомендации сомнительного характера.</w:t>
      </w:r>
    </w:p>
    <w:p w:rsidR="00983A94" w:rsidRPr="009F6573" w:rsidRDefault="00983A94" w:rsidP="00983A94">
      <w:pPr>
        <w:pStyle w:val="1"/>
        <w:numPr>
          <w:ilvl w:val="0"/>
          <w:numId w:val="1"/>
        </w:numPr>
        <w:tabs>
          <w:tab w:val="clear" w:pos="720"/>
        </w:tabs>
        <w:spacing w:line="312" w:lineRule="auto"/>
        <w:ind w:left="0" w:firstLine="357"/>
        <w:jc w:val="both"/>
        <w:rPr>
          <w:sz w:val="28"/>
          <w:szCs w:val="28"/>
        </w:rPr>
      </w:pPr>
      <w:r w:rsidRPr="009F6573">
        <w:rPr>
          <w:sz w:val="28"/>
          <w:szCs w:val="28"/>
        </w:rPr>
        <w:t>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соответствующего запроса.</w:t>
      </w:r>
    </w:p>
    <w:p w:rsidR="00983A94" w:rsidRPr="009F6573" w:rsidRDefault="00983A94" w:rsidP="00983A94">
      <w:pPr>
        <w:pStyle w:val="1"/>
        <w:numPr>
          <w:ilvl w:val="0"/>
          <w:numId w:val="1"/>
        </w:numPr>
        <w:tabs>
          <w:tab w:val="clear" w:pos="720"/>
        </w:tabs>
        <w:spacing w:line="312" w:lineRule="auto"/>
        <w:ind w:left="0" w:firstLine="851"/>
        <w:jc w:val="both"/>
        <w:rPr>
          <w:sz w:val="28"/>
          <w:szCs w:val="28"/>
        </w:rPr>
      </w:pPr>
      <w:r w:rsidRPr="009F6573">
        <w:rPr>
          <w:sz w:val="28"/>
          <w:szCs w:val="28"/>
        </w:rPr>
        <w:lastRenderedPageBreak/>
        <w:t>В обсуждение достоинств и недостатков статьи и иную переписку по присланным материалам (как принятым, так и не принятым) редакция не вступает. Рукописи на доработку не возвращает.</w:t>
      </w:r>
    </w:p>
    <w:p w:rsidR="00983A94" w:rsidRPr="009F6573" w:rsidRDefault="00983A94" w:rsidP="00983A94">
      <w:pPr>
        <w:pStyle w:val="1"/>
        <w:numPr>
          <w:ilvl w:val="0"/>
          <w:numId w:val="1"/>
        </w:numPr>
        <w:tabs>
          <w:tab w:val="clear" w:pos="720"/>
        </w:tabs>
        <w:spacing w:line="312" w:lineRule="auto"/>
        <w:ind w:left="0" w:firstLine="851"/>
        <w:jc w:val="both"/>
        <w:rPr>
          <w:sz w:val="28"/>
          <w:szCs w:val="28"/>
        </w:rPr>
      </w:pPr>
      <w:r w:rsidRPr="009F6573">
        <w:rPr>
          <w:sz w:val="28"/>
          <w:szCs w:val="28"/>
        </w:rPr>
        <w:t>Направление автором материалов для рассмотрения вопроса о возможной публикации признается офертой (предложением заключить договор об отчуждении исключительного права на произведение). При этом автор соглашается с тем, что статья может быть опубликована в электронной версии журнала и размещена в установленном порядке в системе Российского индекса научного цитирования. Автор вправе опубликовать статью, вышедшую в журнале, в другом издании, однако ссылка на публикацию в журнале обязательна. Данное право появляется у автора по истечении трех месяцев с момента выхода  номера журнала, в котором опубликована его статья.</w:t>
      </w:r>
    </w:p>
    <w:p w:rsidR="00983A94" w:rsidRPr="009F6573" w:rsidRDefault="00983A94" w:rsidP="00983A94">
      <w:pPr>
        <w:pStyle w:val="1"/>
        <w:numPr>
          <w:ilvl w:val="0"/>
          <w:numId w:val="1"/>
        </w:numPr>
        <w:tabs>
          <w:tab w:val="clear" w:pos="720"/>
        </w:tabs>
        <w:spacing w:line="312" w:lineRule="auto"/>
        <w:ind w:left="0" w:firstLine="851"/>
        <w:jc w:val="both"/>
        <w:rPr>
          <w:sz w:val="28"/>
          <w:szCs w:val="28"/>
        </w:rPr>
      </w:pPr>
      <w:r w:rsidRPr="009F6573">
        <w:rPr>
          <w:sz w:val="28"/>
          <w:szCs w:val="28"/>
        </w:rPr>
        <w:t>В случае принятия редакцией решения о публикации присланного автором материала договор считается заключенным, факт его заключения может быть подтвержден любыми документами (в том числе электронными), которыми обменивались стороны. Редакция сохраняет за собой право самостоятельно, с согласия автора, производить литературное редактирование и корректуру материалов в соответствии с требованиями современного русского языка и стилем издания.</w:t>
      </w:r>
    </w:p>
    <w:p w:rsidR="00983A94" w:rsidRPr="009F6573" w:rsidRDefault="00983A94" w:rsidP="00983A94">
      <w:pPr>
        <w:pStyle w:val="1"/>
        <w:numPr>
          <w:ilvl w:val="0"/>
          <w:numId w:val="1"/>
        </w:numPr>
        <w:tabs>
          <w:tab w:val="clear" w:pos="720"/>
        </w:tabs>
        <w:spacing w:line="312" w:lineRule="auto"/>
        <w:ind w:left="0" w:firstLine="851"/>
        <w:jc w:val="both"/>
        <w:rPr>
          <w:sz w:val="28"/>
          <w:szCs w:val="28"/>
        </w:rPr>
      </w:pPr>
      <w:r w:rsidRPr="009F6573">
        <w:rPr>
          <w:sz w:val="28"/>
          <w:szCs w:val="28"/>
        </w:rPr>
        <w:t>Все поступающие материалы перед передачей на рецензирование проходят проверку на отсутствие плагиата и соответствие научной направленности журнала. При обнаружении плагиата (неправомерного заимствования) или фальсифицированных (недостоверных) сносок материал снимается с рассмотрения.</w:t>
      </w:r>
    </w:p>
    <w:p w:rsidR="00983A94" w:rsidRPr="009F6573" w:rsidRDefault="00983A94" w:rsidP="00983A94">
      <w:pPr>
        <w:pStyle w:val="1"/>
        <w:numPr>
          <w:ilvl w:val="0"/>
          <w:numId w:val="1"/>
        </w:numPr>
        <w:tabs>
          <w:tab w:val="clear" w:pos="720"/>
        </w:tabs>
        <w:spacing w:line="312" w:lineRule="auto"/>
        <w:ind w:left="0" w:firstLine="851"/>
        <w:jc w:val="both"/>
        <w:rPr>
          <w:sz w:val="28"/>
          <w:szCs w:val="28"/>
        </w:rPr>
      </w:pPr>
      <w:r w:rsidRPr="009F6573">
        <w:rPr>
          <w:sz w:val="28"/>
          <w:szCs w:val="28"/>
        </w:rPr>
        <w:t>В случае несогласия автора статьи с заключением рецензента автор имеет право предоставить аргументированный ответ в редакцию журнала. Решение по возражениям автора принимает председатель экспертного совета рецензентов. В спорных случаях научная статья может быть направлена на дополнительное рецензирование нескольким рецензентам, в том числе и внешним.</w:t>
      </w:r>
    </w:p>
    <w:p w:rsidR="00B04DCA" w:rsidRDefault="00983A94"/>
    <w:p w:rsidR="00983A94" w:rsidRDefault="00983A94" w:rsidP="00983A94">
      <w:pPr>
        <w:pageBreakBefore/>
        <w:spacing w:after="120" w:line="319" w:lineRule="auto"/>
        <w:jc w:val="center"/>
        <w:rPr>
          <w:rFonts w:ascii="Times New Roman" w:hAnsi="Times New Roman"/>
          <w:b/>
          <w:sz w:val="28"/>
          <w:szCs w:val="24"/>
          <w:lang w:val="en-US"/>
        </w:rPr>
      </w:pPr>
      <w:r>
        <w:rPr>
          <w:rFonts w:ascii="Times New Roman" w:hAnsi="Times New Roman"/>
          <w:b/>
          <w:sz w:val="28"/>
          <w:szCs w:val="24"/>
          <w:lang w:val="en-US"/>
        </w:rPr>
        <w:lastRenderedPageBreak/>
        <w:t>Procedures for submitting, reviewing, and publishing scientific articles</w:t>
      </w:r>
    </w:p>
    <w:p w:rsidR="00983A94" w:rsidRDefault="00983A94" w:rsidP="00983A94">
      <w:pPr>
        <w:pStyle w:val="Aacaonienea11"/>
        <w:numPr>
          <w:ilvl w:val="0"/>
          <w:numId w:val="2"/>
        </w:numPr>
        <w:spacing w:line="320" w:lineRule="auto"/>
        <w:jc w:val="both"/>
        <w:rPr>
          <w:lang w:val="en-US"/>
        </w:rPr>
      </w:pPr>
      <w:r>
        <w:rPr>
          <w:sz w:val="28"/>
          <w:lang w:val="en-US"/>
        </w:rPr>
        <w:t>The editorial staff of the journal reviews submitted materials to judge whether they fit within the scope of the journal. Those who review each piece are recognized experts in the subject matter of the piece who have themselves published relevant work within the last three years.</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Reviews are kept on file by the office for five years.</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The initial review of a submission is carried out by the Senior Editor or the Assistant Editor.</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 xml:space="preserve">After the initial review of the submission, the Senior Secretary forwards it for review to a member of the Expert Review Council or a member of the editorial board who specializes in the topic area of the submission. </w:t>
      </w:r>
    </w:p>
    <w:p w:rsidR="00983A94" w:rsidRDefault="00983A94" w:rsidP="00983A94">
      <w:pPr>
        <w:pStyle w:val="Aacaonienea11"/>
        <w:numPr>
          <w:ilvl w:val="0"/>
          <w:numId w:val="2"/>
        </w:numPr>
        <w:spacing w:line="320" w:lineRule="auto"/>
        <w:ind w:left="0" w:firstLine="357"/>
        <w:jc w:val="both"/>
        <w:rPr>
          <w:lang w:val="en-US"/>
        </w:rPr>
      </w:pPr>
      <w:r>
        <w:rPr>
          <w:sz w:val="28"/>
          <w:lang w:val="en-US"/>
        </w:rPr>
        <w:t>The Senior Editor (or Assistant Editor) decides whether the piece can continue to the next stage based on the review. A favorable opinion from the scientific coordinator or the recommendation of the department is taken into consideration.</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Scientific articles from authors with a doctorate including members of the editorial board are reviewed only by the Senior Editor (or Assistant Editor).</w:t>
      </w:r>
    </w:p>
    <w:p w:rsidR="00983A94" w:rsidRDefault="00983A94" w:rsidP="00983A94">
      <w:pPr>
        <w:pStyle w:val="Aacaonienea11"/>
        <w:numPr>
          <w:ilvl w:val="0"/>
          <w:numId w:val="2"/>
        </w:numPr>
        <w:spacing w:line="320" w:lineRule="auto"/>
        <w:ind w:left="0" w:firstLine="357"/>
        <w:jc w:val="both"/>
        <w:rPr>
          <w:lang w:val="en-US"/>
        </w:rPr>
      </w:pPr>
      <w:r>
        <w:rPr>
          <w:sz w:val="28"/>
          <w:lang w:val="en-US"/>
        </w:rPr>
        <w:t>After reviewing a submission, a reviewer may A) recommend the article for publishing, B) recommend the article for publishing after reworking specified issues, or C) not recommend the article for publishing.</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The editorial department reserves the right to only publish pieces that match the journal’s subject matter, and not to publish pieces that damage the honor and dignity of third parties or contain dubious claims and advice.</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The editorial department forwards copies of reviews or the reasons for refusal to the authors of the submission and will send the copies to the Ministry of Education and Science of the Russian Federation upon their request.</w:t>
      </w:r>
    </w:p>
    <w:p w:rsidR="00983A94" w:rsidRDefault="00983A94" w:rsidP="00983A94">
      <w:pPr>
        <w:pStyle w:val="Aacaonienea11"/>
        <w:numPr>
          <w:ilvl w:val="0"/>
          <w:numId w:val="2"/>
        </w:numPr>
        <w:spacing w:line="320" w:lineRule="auto"/>
        <w:ind w:left="0" w:firstLine="851"/>
        <w:jc w:val="both"/>
        <w:rPr>
          <w:sz w:val="28"/>
          <w:lang w:val="en-US"/>
        </w:rPr>
      </w:pPr>
      <w:r>
        <w:rPr>
          <w:sz w:val="28"/>
          <w:lang w:val="en-US"/>
        </w:rPr>
        <w:t>The editorial department does not discuss or argue the merits of submissions whether accepted or rejected. Submissions for rework will not be returned.</w:t>
      </w:r>
    </w:p>
    <w:p w:rsidR="00983A94" w:rsidRDefault="00983A94" w:rsidP="00983A94">
      <w:pPr>
        <w:pStyle w:val="Aacaonienea11"/>
        <w:numPr>
          <w:ilvl w:val="0"/>
          <w:numId w:val="2"/>
        </w:numPr>
        <w:spacing w:line="320" w:lineRule="auto"/>
        <w:ind w:left="0" w:firstLine="851"/>
        <w:jc w:val="both"/>
        <w:rPr>
          <w:lang w:val="en-US"/>
        </w:rPr>
      </w:pPr>
      <w:r>
        <w:rPr>
          <w:sz w:val="28"/>
          <w:lang w:val="en-US"/>
        </w:rPr>
        <w:t xml:space="preserve">An author’s sending materials for consideration for publication is considered an offer of the exclusive right of reproduction of the submission. Therefore, the author agrees that the article may be published in the online version </w:t>
      </w:r>
      <w:r w:rsidRPr="00F11098">
        <w:rPr>
          <w:spacing w:val="-4"/>
          <w:sz w:val="28"/>
          <w:lang w:val="en-US"/>
        </w:rPr>
        <w:t xml:space="preserve">of the journal and placed in the prescribed manner in the Russian Science Citation </w:t>
      </w:r>
      <w:r w:rsidRPr="00F11098">
        <w:rPr>
          <w:spacing w:val="-4"/>
          <w:sz w:val="28"/>
          <w:lang w:val="en-US"/>
        </w:rPr>
        <w:lastRenderedPageBreak/>
        <w:t>Index.</w:t>
      </w:r>
      <w:r>
        <w:rPr>
          <w:sz w:val="28"/>
          <w:lang w:val="en-US"/>
        </w:rPr>
        <w:t xml:space="preserve"> Three months from the date of publication of the journal issue containing the article, the author has the right to publish the article in another publication, but reference to the publication in </w:t>
      </w:r>
      <w:r w:rsidRPr="008033A3">
        <w:rPr>
          <w:i/>
          <w:sz w:val="28"/>
          <w:lang w:val="en-US"/>
        </w:rPr>
        <w:t>Electronic Information Systems</w:t>
      </w:r>
      <w:r>
        <w:rPr>
          <w:sz w:val="28"/>
          <w:lang w:val="en-US"/>
        </w:rPr>
        <w:t xml:space="preserve"> is obligatory.</w:t>
      </w:r>
    </w:p>
    <w:p w:rsidR="00983A94" w:rsidRDefault="00983A94" w:rsidP="00983A94">
      <w:pPr>
        <w:pStyle w:val="Aacaonienea11"/>
        <w:numPr>
          <w:ilvl w:val="0"/>
          <w:numId w:val="2"/>
        </w:numPr>
        <w:spacing w:line="320" w:lineRule="auto"/>
        <w:ind w:left="0" w:firstLine="851"/>
        <w:jc w:val="both"/>
        <w:rPr>
          <w:lang w:val="en-US"/>
        </w:rPr>
      </w:pPr>
      <w:r>
        <w:rPr>
          <w:sz w:val="28"/>
          <w:lang w:val="en-US"/>
        </w:rPr>
        <w:t>If the editorial department decides to publish the submission sent by the author then the agreement is considered concluded. The proof of agreement can be confirmed by any documents (including electronic documents) exchanged between both parties. With consent of the author, the editorial department reserves the right to carry out literary editing and proofreading of the materials according to the standards of the Russian language and editorial style at its own discretion.</w:t>
      </w:r>
    </w:p>
    <w:p w:rsidR="00983A94" w:rsidRDefault="00983A94" w:rsidP="00983A94">
      <w:pPr>
        <w:pStyle w:val="Aacaonienea11"/>
        <w:numPr>
          <w:ilvl w:val="0"/>
          <w:numId w:val="2"/>
        </w:numPr>
        <w:spacing w:line="320" w:lineRule="auto"/>
        <w:ind w:left="0" w:firstLine="851"/>
        <w:jc w:val="both"/>
        <w:rPr>
          <w:lang w:val="en-US"/>
        </w:rPr>
      </w:pPr>
      <w:r>
        <w:rPr>
          <w:sz w:val="28"/>
          <w:lang w:val="en-US"/>
        </w:rPr>
        <w:t>All incoming materials are subject to checks for plagiarism and compliance with the scientific standards of the journal before forwarding for further review. If any unauthorized borrowing or faked references are found or suspected, the submission is excluded from consideration.</w:t>
      </w:r>
    </w:p>
    <w:p w:rsidR="00983A94" w:rsidRDefault="00983A94" w:rsidP="00983A94">
      <w:pPr>
        <w:pStyle w:val="Aacaonienea11"/>
        <w:numPr>
          <w:ilvl w:val="0"/>
          <w:numId w:val="2"/>
        </w:numPr>
        <w:spacing w:line="320" w:lineRule="auto"/>
        <w:ind w:left="0" w:firstLine="851"/>
        <w:jc w:val="both"/>
        <w:rPr>
          <w:lang w:val="en-US"/>
        </w:rPr>
      </w:pPr>
      <w:r>
        <w:rPr>
          <w:sz w:val="28"/>
          <w:lang w:val="en-US"/>
        </w:rPr>
        <w:t>If the article author fails to agree with the reviewer’s conclusion, the author is entitled to submit a substantiated reply to the editorial department. Decisions regarding the author’s objections are made by the Chairman of the Expert Review Council. In case of disputes, the submission may be forwarded to third-party reviewers for additional opinions.</w:t>
      </w:r>
    </w:p>
    <w:p w:rsidR="00983A94" w:rsidRPr="00983A94" w:rsidRDefault="00983A94">
      <w:pPr>
        <w:rPr>
          <w:lang w:val="en-US"/>
        </w:rPr>
      </w:pPr>
      <w:bookmarkStart w:id="0" w:name="_GoBack"/>
      <w:bookmarkEnd w:id="0"/>
    </w:p>
    <w:sectPr w:rsidR="00983A94" w:rsidRPr="00983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76F"/>
    <w:multiLevelType w:val="hybridMultilevel"/>
    <w:tmpl w:val="5C0A6A2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74174A"/>
    <w:multiLevelType w:val="hybridMultilevel"/>
    <w:tmpl w:val="5C0A6A2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94"/>
    <w:rsid w:val="00064AF4"/>
    <w:rsid w:val="001E050E"/>
    <w:rsid w:val="0098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83A94"/>
    <w:pPr>
      <w:spacing w:after="0" w:line="240" w:lineRule="auto"/>
      <w:ind w:left="720"/>
    </w:pPr>
    <w:rPr>
      <w:rFonts w:ascii="Times New Roman" w:eastAsia="Times New Roman" w:hAnsi="Times New Roman" w:cs="Times New Roman"/>
      <w:sz w:val="24"/>
      <w:szCs w:val="24"/>
      <w:lang w:eastAsia="ru-RU"/>
    </w:rPr>
  </w:style>
  <w:style w:type="paragraph" w:customStyle="1" w:styleId="Aacaonienea11">
    <w:name w:val="Aacao nienea11"/>
    <w:basedOn w:val="a"/>
    <w:rsid w:val="00983A94"/>
    <w:pPr>
      <w:spacing w:after="0" w:line="240" w:lineRule="auto"/>
      <w:ind w:left="720"/>
    </w:pPr>
    <w:rPr>
      <w:rFonts w:ascii="Times New Roman" w:eastAsia="Times New Roman" w:hAnsi="Times New Roman" w:cs="Times New Roman"/>
      <w:snapToGrid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83A94"/>
    <w:pPr>
      <w:spacing w:after="0" w:line="240" w:lineRule="auto"/>
      <w:ind w:left="720"/>
    </w:pPr>
    <w:rPr>
      <w:rFonts w:ascii="Times New Roman" w:eastAsia="Times New Roman" w:hAnsi="Times New Roman" w:cs="Times New Roman"/>
      <w:sz w:val="24"/>
      <w:szCs w:val="24"/>
      <w:lang w:eastAsia="ru-RU"/>
    </w:rPr>
  </w:style>
  <w:style w:type="paragraph" w:customStyle="1" w:styleId="Aacaonienea11">
    <w:name w:val="Aacao nienea11"/>
    <w:basedOn w:val="a"/>
    <w:rsid w:val="00983A94"/>
    <w:pPr>
      <w:spacing w:after="0" w:line="240" w:lineRule="auto"/>
      <w:ind w:left="720"/>
    </w:pPr>
    <w:rPr>
      <w:rFonts w:ascii="Times New Roman" w:eastAsia="Times New Roman" w:hAnsi="Times New Roman" w:cs="Times New Roman"/>
      <w:snapToGrid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ЗАО "НТЦ ЭЛИНС"</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Ляукина Марина Викторовна</dc:creator>
  <cp:lastModifiedBy>Ляукина Марина Викторовна</cp:lastModifiedBy>
  <cp:revision>1</cp:revision>
  <dcterms:created xsi:type="dcterms:W3CDTF">2016-06-03T13:00:00Z</dcterms:created>
  <dcterms:modified xsi:type="dcterms:W3CDTF">2016-06-03T13:00:00Z</dcterms:modified>
</cp:coreProperties>
</file>